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B7" w:rsidRPr="005D7958" w:rsidRDefault="005D7958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>Приложение № 20.2</w:t>
      </w:r>
    </w:p>
    <w:p w:rsidR="005036B7" w:rsidRPr="005D7958" w:rsidRDefault="005036B7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к основной образовательной программе </w:t>
      </w:r>
    </w:p>
    <w:p w:rsidR="005036B7" w:rsidRPr="005D7958" w:rsidRDefault="005036B7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начального общего образования  </w:t>
      </w:r>
    </w:p>
    <w:p w:rsidR="005036B7" w:rsidRPr="005D7958" w:rsidRDefault="005036B7" w:rsidP="005036B7">
      <w:pPr>
        <w:spacing w:after="0" w:line="240" w:lineRule="auto"/>
        <w:ind w:left="4253"/>
        <w:rPr>
          <w:rFonts w:ascii="Liberation Serif" w:eastAsia="Times New Roman" w:hAnsi="Liberation Serif" w:cs="Times New Roman"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МОУ «Килачевская СОШ», </w:t>
      </w:r>
      <w:proofErr w:type="gramStart"/>
      <w:r w:rsidRPr="005D7958">
        <w:rPr>
          <w:rFonts w:ascii="Liberation Serif" w:eastAsia="Times New Roman" w:hAnsi="Liberation Serif" w:cs="Times New Roman"/>
          <w:sz w:val="24"/>
          <w:szCs w:val="24"/>
        </w:rPr>
        <w:t>утвержденной</w:t>
      </w:r>
      <w:proofErr w:type="gramEnd"/>
      <w:r w:rsidRPr="005D7958">
        <w:rPr>
          <w:rFonts w:ascii="Liberation Serif" w:eastAsia="Times New Roman" w:hAnsi="Liberation Serif" w:cs="Times New Roman"/>
          <w:sz w:val="24"/>
          <w:szCs w:val="24"/>
        </w:rPr>
        <w:t xml:space="preserve"> приказом МОУ «Килачевская СОШ»  </w:t>
      </w:r>
    </w:p>
    <w:p w:rsidR="005036B7" w:rsidRPr="005D7958" w:rsidRDefault="005D7958" w:rsidP="005036B7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sz w:val="24"/>
          <w:szCs w:val="24"/>
        </w:rPr>
        <w:t>от 28.08.2015</w:t>
      </w:r>
      <w:r w:rsidR="005036B7" w:rsidRPr="005D7958">
        <w:rPr>
          <w:rFonts w:ascii="Liberation Serif" w:eastAsia="Times New Roman" w:hAnsi="Liberation Serif" w:cs="Times New Roman"/>
          <w:sz w:val="24"/>
          <w:szCs w:val="24"/>
        </w:rPr>
        <w:t xml:space="preserve"> №5</w:t>
      </w:r>
      <w:r w:rsidRPr="005D7958">
        <w:rPr>
          <w:rFonts w:ascii="Liberation Serif" w:eastAsia="Times New Roman" w:hAnsi="Liberation Serif" w:cs="Times New Roman"/>
          <w:sz w:val="24"/>
          <w:szCs w:val="24"/>
        </w:rPr>
        <w:t>0-г</w:t>
      </w: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b/>
          <w:sz w:val="36"/>
          <w:szCs w:val="36"/>
        </w:rPr>
        <w:t>Рабочая программа</w:t>
      </w: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b/>
          <w:sz w:val="36"/>
          <w:szCs w:val="36"/>
        </w:rPr>
        <w:t>учебного предмета «Технология»</w:t>
      </w:r>
    </w:p>
    <w:p w:rsidR="005036B7" w:rsidRPr="005D7958" w:rsidRDefault="005036B7" w:rsidP="005D7958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5D7958">
        <w:rPr>
          <w:rFonts w:ascii="Liberation Serif" w:eastAsia="Times New Roman" w:hAnsi="Liberation Serif" w:cs="Times New Roman"/>
          <w:sz w:val="36"/>
          <w:szCs w:val="36"/>
        </w:rPr>
        <w:t>5-8  классы</w:t>
      </w: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Default="005036B7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D7958" w:rsidRPr="005D7958" w:rsidRDefault="005D7958" w:rsidP="005036B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E61F7B" w:rsidRPr="008848E3" w:rsidRDefault="00E61F7B" w:rsidP="00E61F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 xml:space="preserve">Планируемые результаты изучения учебного предмета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«Т</w:t>
      </w: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ехнология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</w:t>
      </w: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результатов.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оценки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отдельные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48E3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3.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8.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9.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освоения учебного предмета «</w:t>
      </w: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будет продолжена работа по формированию и развитию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основ читательской компетенции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досугового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При изучении учебного предмета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усовершенствуют приобретенные на первом уровне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навыки работы с информацией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ходе изучения учебного предмета «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Они получат возможность развить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способность к разработке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переводить сложную по составу (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многоаспектную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текстовое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и наоборот;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рефлексировать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8. Смысловое чтение.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non-fiction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- критически оценивать содержание и форму текста.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аргументированно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61F7B" w:rsidRPr="008848E3" w:rsidRDefault="00E61F7B" w:rsidP="00E61F7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E61F7B" w:rsidRPr="008848E3" w:rsidRDefault="00E61F7B" w:rsidP="00E6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освоения учебного предмета 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«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Технология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»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процессов, правилами выполнения графической документации; 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61F7B" w:rsidRPr="008848E3" w:rsidRDefault="00E61F7B" w:rsidP="00E61F7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востребованности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рынке труда.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связи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61F7B" w:rsidRPr="008848E3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обучающихся</w:t>
      </w:r>
      <w:proofErr w:type="gramEnd"/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проводить оценку и испытание полученного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регламентацией) технологии производства данного продукта и ее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пилотного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61F7B" w:rsidRPr="008848E3" w:rsidRDefault="00E61F7B" w:rsidP="00E61F7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E61F7B" w:rsidRPr="008848E3" w:rsidRDefault="00E61F7B" w:rsidP="00E61F7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выявлять и формулировать проблему, требующую технологического решения;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proofErr w:type="spellStart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технологизировать</w:t>
      </w:r>
      <w:proofErr w:type="spellEnd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61F7B" w:rsidRPr="007D0EB1" w:rsidRDefault="00E61F7B" w:rsidP="00E61F7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lastRenderedPageBreak/>
        <w:t>оценивать коммерческий потенциал продукта и / или технологии.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61F7B" w:rsidRPr="008848E3" w:rsidRDefault="00E61F7B" w:rsidP="00E61F7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дств в р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E61F7B" w:rsidRPr="007D0EB1" w:rsidRDefault="00E61F7B" w:rsidP="00E61F7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E61F7B" w:rsidRPr="007D0EB1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приводит произвольные примеры производственных технологий и технологий в сфере быта;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выбор товара в модельной ситуации;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освоил техники обработки материалов (по выбору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обучающегося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соответствии с содержанием проектной деятельности);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опыт мониторинга развития технологий произвольно избранной отрасли,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саморегулируемые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системы;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региона проживания;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ситуацию на региональном рынке труда, называет тенденции ее развития;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(с использованием произвольно избранных источников информации);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функции модели и принципы моделирования;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логистических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задач;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характеристике транспортного средства;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трассы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основе самостоятельно спланированного наблюдения; 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61F7B" w:rsidRPr="008848E3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E61F7B" w:rsidRDefault="00E61F7B" w:rsidP="00E61F7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E61F7B" w:rsidRPr="004D7E3B" w:rsidRDefault="00E61F7B" w:rsidP="00E61F7B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</w:t>
      </w:r>
      <w:r w:rsidRPr="004D7E3B">
        <w:rPr>
          <w:rFonts w:ascii="Liberation Serif" w:hAnsi="Liberation Serif"/>
          <w:sz w:val="24"/>
        </w:rPr>
        <w:t>азвитие инновационной творческой деятельности обучающихся в процессе решения прикладных учебных задач;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совершенствование умений выполнения учебно-исследовательской и проектной деятельности;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представлений о социальных и этических аспектах научно-технического прогресса;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lastRenderedPageBreak/>
        <w:t>Предметные результаты изучения предметной области "Технология" должны отражать: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7E3B">
        <w:rPr>
          <w:rFonts w:ascii="Liberation Serif" w:hAnsi="Liberation Serif"/>
          <w:sz w:val="24"/>
        </w:rPr>
        <w:t>техносфере</w:t>
      </w:r>
      <w:proofErr w:type="spellEnd"/>
      <w:r w:rsidRPr="004D7E3B">
        <w:rPr>
          <w:rFonts w:ascii="Liberation Serif" w:hAnsi="Liberation Serif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61F7B" w:rsidRPr="004D7E3B" w:rsidRDefault="00E61F7B" w:rsidP="00E61F7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4D7E3B">
        <w:rPr>
          <w:rFonts w:ascii="Liberation Serif" w:hAnsi="Liberation Serif"/>
          <w:sz w:val="24"/>
        </w:rPr>
        <w:t>востребованности</w:t>
      </w:r>
      <w:proofErr w:type="spellEnd"/>
      <w:r w:rsidRPr="004D7E3B">
        <w:rPr>
          <w:rFonts w:ascii="Liberation Serif" w:hAnsi="Liberation Serif"/>
          <w:sz w:val="24"/>
        </w:rPr>
        <w:t xml:space="preserve"> на рынке труда.</w:t>
      </w:r>
    </w:p>
    <w:p w:rsidR="00E61F7B" w:rsidRPr="004D7E3B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61F7B" w:rsidRDefault="00E61F7B" w:rsidP="00E61F7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учебного предмета «Технология»</w:t>
      </w:r>
    </w:p>
    <w:p w:rsidR="00E61F7B" w:rsidRPr="008848E3" w:rsidRDefault="00E61F7B" w:rsidP="00E61F7B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обучающемуся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E61F7B" w:rsidRPr="008848E3" w:rsidRDefault="00E61F7B" w:rsidP="00E61F7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E61F7B" w:rsidRPr="008848E3" w:rsidRDefault="00E61F7B" w:rsidP="00E61F7B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чной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деятельности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краткосрочных курсов, призванных стать для обучающихся ситуацией пробы в определенных видах деятельности и в оперировании с определенными объектами воздействия.</w:t>
      </w:r>
      <w:proofErr w:type="gramEnd"/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E61F7B" w:rsidRPr="008848E3" w:rsidRDefault="00E61F7B" w:rsidP="00E61F7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получения и обработки материалов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 заданными свойствами (закалка, сплавы, обраб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отка поверхности (бомбардировка, притирка, полирование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), порошковая металлургия, композитные материалы, технологии синтеза.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Биотехнологии.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). Квантовые компьютеры. Развитие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многофункциональных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ИТ-инструментов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8848E3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Электробезопасность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быту и экология жилища.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й(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Робототехника и среда конструирования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Виды движения. Кинематические схемы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проект, исследовательский проект, социальный проект. Бюджет проекта.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E61F7B" w:rsidRPr="00FD54B4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</w:t>
      </w:r>
      <w:r w:rsidRPr="00FD54B4">
        <w:rPr>
          <w:rFonts w:ascii="Liberation Serif" w:eastAsia="Times New Roman" w:hAnsi="Liberation Serif"/>
          <w:sz w:val="24"/>
          <w:szCs w:val="24"/>
          <w:lang w:eastAsia="ru-RU"/>
        </w:rPr>
        <w:t>образовательной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организации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МОУ «Килачевская СОШ»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по алгоритму («бытовые мелочи»): реализация этапов анализа ситуации,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целеполагания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848E3">
        <w:rPr>
          <w:rFonts w:ascii="Liberation Serif" w:hAnsi="Liberation Serif"/>
          <w:sz w:val="24"/>
          <w:szCs w:val="24"/>
          <w:lang w:eastAsia="ru-RU"/>
        </w:rPr>
        <w:t>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Пилотное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применение технологии на основе разработанных регламентов.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вида проекта.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Стратегии профессиональной карьеры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Современные требования к кадрам. Концепции «обучения для жизни» и «обучения через всю жизнь».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E61F7B" w:rsidRPr="008848E3" w:rsidRDefault="00E61F7B" w:rsidP="00E61F7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E61F7B" w:rsidRPr="008848E3" w:rsidRDefault="00E61F7B" w:rsidP="00E61F7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61F7B" w:rsidRPr="008848E3" w:rsidRDefault="00E61F7B" w:rsidP="00E61F7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036B7" w:rsidRPr="005D7958" w:rsidRDefault="005036B7" w:rsidP="005D7958">
      <w:pPr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5D7958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темы.</w:t>
      </w: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5D7958">
        <w:rPr>
          <w:rFonts w:ascii="Liberation Serif" w:eastAsia="Times New Roman" w:hAnsi="Liberation Serif" w:cs="Times New Roman"/>
          <w:b/>
          <w:bCs/>
          <w:sz w:val="24"/>
          <w:szCs w:val="24"/>
        </w:rPr>
        <w:t>5  КЛАСС</w:t>
      </w: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6539"/>
        <w:gridCol w:w="1701"/>
      </w:tblGrid>
      <w:tr w:rsidR="005036B7" w:rsidRPr="005D7958" w:rsidTr="00532020">
        <w:trPr>
          <w:trHeight w:val="962"/>
        </w:trPr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39" w:type="dxa"/>
            <w:vAlign w:val="center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1,2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Вводное занятие. Технология в жизни людей. Общие принципы организации рабочего места в столярной мастерской. 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3,4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Древесина. Пиломатериалы  и древесные материалы.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5,6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Графическое изображение деталей из древесины.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7,8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Последовательность изготовления деталей из древесины.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Пиление и зачистка заготовок из древесины.  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13,14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Строгание заготовок из древесины.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15,16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Сверление древесины ручными инструментами. 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17,18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Соединение деталей из древесины на гвоздях, шурупах, клею. Отделка изделия из древесины.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19,20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Итоговое занятие по теме: «Технологии ручной обработки древесины и древесных материалов». Технический турнир «Юный столяр».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21,22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Понятие о машине, механизме, детали. Сведения по истории развития техники.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23,24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Организация рабочего места в слесарно-механической мастерской.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25,26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27,28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Графические изображения деталей из тонколистового металла и искусственных материалов.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29,30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Разметка заготовок из тонколистового металла, проволоки и пластмассы.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31,32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Правка и гибка заготовок из тонколистового металла и проволоки.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33,34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Резание и зачистка заготовок из тонколистового металла, проволоки и искусственных материалов.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35,36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Получение отверстий в заготовках из металла и искусственных материалов.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37,38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Соединение </w:t>
            </w:r>
            <w:proofErr w:type="spellStart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фальцевым</w:t>
            </w:r>
            <w:proofErr w:type="spellEnd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швом.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39,40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Соединение заклепками.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41,42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Отделка изделия и тонколистового металла, проволоки и искусственных материалов.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43,44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Устройство настольного сверлильного станка.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45,46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Выпиливание лобзиком.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47,48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49,50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Изготовление изделий с отделкой выпиливание и выжигание.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Технологии ремонта деталей интерьера, одежды и обуви и уход за ними.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53,54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Выбор темы проекта. Определение потребности и постановки задачи. Требования к изделию.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55,56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Выбор конструкции материалов.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57,58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Рабочие эскизы и план изготовления изделия.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59-62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Изготовление деталей, сборка и отделка изделия.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63,64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Расчет стоимости изделия.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65,66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Самоанализ выполненной работы.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c>
          <w:tcPr>
            <w:tcW w:w="108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67,68</w:t>
            </w:r>
          </w:p>
        </w:tc>
        <w:tc>
          <w:tcPr>
            <w:tcW w:w="6539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</w:tbl>
    <w:p w:rsidR="005036B7" w:rsidRPr="005D7958" w:rsidRDefault="005036B7" w:rsidP="005036B7">
      <w:pP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D795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  КЛАСС</w:t>
      </w: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D795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6520"/>
        <w:gridCol w:w="1701"/>
      </w:tblGrid>
      <w:tr w:rsidR="005036B7" w:rsidRPr="005D7958" w:rsidTr="00532020">
        <w:trPr>
          <w:trHeight w:val="734"/>
        </w:trPr>
        <w:tc>
          <w:tcPr>
            <w:tcW w:w="1135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Тематическое планирование по темам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520" w:type="dxa"/>
            <w:vAlign w:val="center"/>
          </w:tcPr>
          <w:p w:rsidR="005036B7" w:rsidRPr="005D7958" w:rsidRDefault="005036B7" w:rsidP="005036B7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Заготовка древесины. Свойства древесины.  Пороки древесины. 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rPr>
          <w:trHeight w:val="611"/>
        </w:trPr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Профессии, связанные с производством древесины, древесных материалов и восстановление лесных массивов.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Сборочные чертежи, спецификация. Технологические карты.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Соединение брусков из древесины. Изготовление цилиндрических и конических деталей ручным инструментом.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Отделка деталей изделий окрашиванием.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Контроль качества изделий, выявление дефектов, их устранение. Правила безопасного труда.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Токарный  станок для обработки древесины: устройство, оснастка, инструменты, приемы работы.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Контроль качества деталей. Профессии, связанные с производством и обработкой материалов.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Правила безопасного труда при работе на токарном станке. 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Свойства черных и цветных металлов. Свойства искусственных материалов.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Сортовой прокат. Чтение сборных чертежей.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Измерение размеров деталей с помощью штангенциркуля.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25-34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Профессии, связанные с обработкой металлов.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Элементы машиноведения. Составные части машин. Виды механических передач.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передачном</w:t>
            </w:r>
            <w:proofErr w:type="spellEnd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отношении. Соединения деталей. Современные ручные технологические машины и механизмы для выполнения слесарных работ.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Виды резьбы по дереву, оборудование и инструменты.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Технологии выполнения ажурной, геометрической, рельефной и скульптурной резьбы по дереву.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Эстетические и эргономические требования к изделию. Правила безопасного труда при выполнении художественно-прикладных работ с древесиной.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Профессии, связанные с художественной обработкой древесины. 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рабочего места для выполнения электромонтажных работ с использованием пайки.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Устройство и применение пробника на основе гальванического источника тока и электрической лампочки.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СМИ и ресурсы Интернета.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Современные информационные технологии.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Интерьер жилого помещения. Технология крепления деталей интерьера (настенных предметов).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Инструменты и крепежные детали. Правила безопасного выполнения работ. Простейший ремонт элементов систем водоснабжения и канализации.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Технологии ремонтно-отделочных работ. Виды ремонтно-отделочных работ.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Творческий проект. Понятие о техническом задании. Этапы проектирования и конструирования.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Применение ПК при проектировании изделий.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Основные виды проектной документации. 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36B7" w:rsidRPr="005D7958" w:rsidTr="00532020">
        <w:tc>
          <w:tcPr>
            <w:tcW w:w="1135" w:type="dxa"/>
          </w:tcPr>
          <w:p w:rsidR="005036B7" w:rsidRPr="005D7958" w:rsidRDefault="005036B7" w:rsidP="005036B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6520" w:type="dxa"/>
          </w:tcPr>
          <w:p w:rsidR="005036B7" w:rsidRPr="005D7958" w:rsidRDefault="005036B7" w:rsidP="005036B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Правила безопасного труда при выполнении творческих проектов.</w:t>
            </w:r>
          </w:p>
        </w:tc>
        <w:tc>
          <w:tcPr>
            <w:tcW w:w="1701" w:type="dxa"/>
          </w:tcPr>
          <w:p w:rsidR="005036B7" w:rsidRPr="005D7958" w:rsidRDefault="005036B7" w:rsidP="005036B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D795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D7958">
        <w:rPr>
          <w:rFonts w:ascii="Liberation Serif" w:eastAsia="Times New Roman" w:hAnsi="Liberation Serif" w:cs="Times New Roman"/>
          <w:b/>
          <w:bCs/>
          <w:sz w:val="24"/>
          <w:szCs w:val="24"/>
        </w:rPr>
        <w:t>7 КЛАСС</w:t>
      </w:r>
    </w:p>
    <w:p w:rsidR="005036B7" w:rsidRPr="005D7958" w:rsidRDefault="005036B7" w:rsidP="005036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6318"/>
        <w:gridCol w:w="1890"/>
      </w:tblGrid>
      <w:tr w:rsidR="005036B7" w:rsidRPr="005D7958" w:rsidTr="00532020">
        <w:trPr>
          <w:trHeight w:val="962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1,2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Вводное занятие. 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Конструкторская документация. Чертежи деталей и изделий из древесины.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5,6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Технологическая документация.  Технологические карты изготовления деталей из древесины.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7,8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Заточка дереворежущих инструментов.  Настойка рубанков.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Отклонения и допуски на размеры деталей.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11,12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Шиповые столярные соединения.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13,14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Технология шипового соединения деталей.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15,16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Технология соединения деталей </w:t>
            </w:r>
            <w:proofErr w:type="spellStart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шкантами</w:t>
            </w:r>
            <w:proofErr w:type="spellEnd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шурупами в нагель.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17,18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Технология обработки наружных фасонных поверхностей деталей из древесины.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19,20 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21,22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Классификация сталей. Термическая обработка сталей.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23,24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Чертежи деталей, изготовляемых на токарном и фрезерном станках.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25,26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27,28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Виды и назначение токарных резцов.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29,30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Управление токарно-винторезным станком.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31,32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Приемы работы на токарно-винторезном станке.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33,34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Технологическая документация для изготовления изделий на станках.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35,36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Устройство настольного горизонтально-фрезерного станка.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37,38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Нарезание резьбы.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39,40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Художественная обработка древесины. Мозаика.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41,42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Технология изготовления мозаичных наборов.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43,44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Мозаика с металлическим контуром.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45,46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Тиснение по фольге.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47,48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Декоративные изделия из проволоки (ажурная скульптура из металла).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49,50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Басма.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51,52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Просечной</w:t>
            </w:r>
            <w:proofErr w:type="gramEnd"/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металл.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53,54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Чеканка.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55,56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Основы технологии малярных работ.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57,58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Основы технологии плиточных работ.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59,66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Изготовление изделия.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67,68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</w:tbl>
    <w:p w:rsidR="005D7958" w:rsidRDefault="005D7958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D795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8 КЛАСС</w:t>
      </w:r>
    </w:p>
    <w:p w:rsidR="005036B7" w:rsidRPr="005D7958" w:rsidRDefault="005036B7" w:rsidP="005036B7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tbl>
      <w:tblPr>
        <w:tblW w:w="9451" w:type="dxa"/>
        <w:jc w:val="center"/>
        <w:tblInd w:w="-2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6318"/>
        <w:gridCol w:w="1890"/>
      </w:tblGrid>
      <w:tr w:rsidR="005036B7" w:rsidRPr="005D7958" w:rsidTr="00532020">
        <w:trPr>
          <w:trHeight w:val="962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Проектирование как сфера профессиональной деятельности. 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Способы выявления потребностей семьи.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построения семейного бюджета.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совершения покупок.  Способы защиты прав потребителей.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ведения бизнеса.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Инженерные коммуникации в доме.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Системы водоснабжения и канализации: конструкция и элементы.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Электрический ток и его использование.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Электрические цепи. 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Потребители и источники электроэнергии.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Электроизмерительные приборы.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Организация рабочего места для электромонтажных работ.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Электрические провода.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Принципиальные и монтажные электрические схемы.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Монтаж электрической цепи. Творческий проект «Разработка плаката по электробезопасности».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Бытовые электронагревательные приборы.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Цифровые приборы. Творческий проект «Дом будущего». 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Роль темперамента и характера в профессиональном самоопределении.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Психические процессы, важные для профессионального самоопределения.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Мотивы выбора профессии. Профессиональная пригодность. Профессиональная проба. Творческий проект: «Мой профессиональный выбор».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профессионального выбора.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Возможности построения карьеры в профессиональной деятельности.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Пример творческого проекта: «Мой профессиональный выбор».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Знакомство с банком объектов творческих проектов. ИОТ-16-2016. Техника безопасности для </w:t>
            </w:r>
            <w:proofErr w:type="gram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Выбор темы собственного проекта. Консультация по выбранной теме.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презентации проекта.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318" w:type="dxa"/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5036B7" w:rsidRPr="005D7958" w:rsidTr="00532020">
        <w:trPr>
          <w:trHeight w:val="71"/>
          <w:jc w:val="center"/>
        </w:trPr>
        <w:tc>
          <w:tcPr>
            <w:tcW w:w="1243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5036B7" w:rsidRPr="005D7958" w:rsidRDefault="005036B7" w:rsidP="005036B7">
            <w:pPr>
              <w:spacing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890" w:type="dxa"/>
          </w:tcPr>
          <w:p w:rsidR="005036B7" w:rsidRPr="005D7958" w:rsidRDefault="005036B7" w:rsidP="005036B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</w:tbl>
    <w:p w:rsidR="005036B7" w:rsidRPr="005D7958" w:rsidRDefault="005036B7" w:rsidP="005036B7">
      <w:pPr>
        <w:rPr>
          <w:rFonts w:ascii="Liberation Serif" w:hAnsi="Liberation Serif" w:cs="Times New Roman"/>
          <w:sz w:val="24"/>
          <w:szCs w:val="24"/>
        </w:rPr>
      </w:pPr>
      <w:bookmarkStart w:id="4" w:name="_GoBack"/>
      <w:bookmarkEnd w:id="4"/>
    </w:p>
    <w:sectPr w:rsidR="005036B7" w:rsidRPr="005D7958" w:rsidSect="007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79" w:rsidRDefault="00F12F79" w:rsidP="00EC5900">
      <w:pPr>
        <w:spacing w:after="0" w:line="240" w:lineRule="auto"/>
      </w:pPr>
      <w:r>
        <w:separator/>
      </w:r>
    </w:p>
  </w:endnote>
  <w:endnote w:type="continuationSeparator" w:id="0">
    <w:p w:rsidR="00F12F79" w:rsidRDefault="00F12F79" w:rsidP="00EC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79" w:rsidRDefault="00F12F79" w:rsidP="00EC5900">
      <w:pPr>
        <w:spacing w:after="0" w:line="240" w:lineRule="auto"/>
      </w:pPr>
      <w:r>
        <w:separator/>
      </w:r>
    </w:p>
  </w:footnote>
  <w:footnote w:type="continuationSeparator" w:id="0">
    <w:p w:rsidR="00F12F79" w:rsidRDefault="00F12F79" w:rsidP="00EC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05C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871729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D9"/>
    <w:rsid w:val="00004653"/>
    <w:rsid w:val="000534A4"/>
    <w:rsid w:val="00055129"/>
    <w:rsid w:val="000E7FEC"/>
    <w:rsid w:val="0012307F"/>
    <w:rsid w:val="00126EB7"/>
    <w:rsid w:val="00144741"/>
    <w:rsid w:val="00195101"/>
    <w:rsid w:val="00205067"/>
    <w:rsid w:val="00264FD3"/>
    <w:rsid w:val="00276AEA"/>
    <w:rsid w:val="002A7C67"/>
    <w:rsid w:val="002D0776"/>
    <w:rsid w:val="0030177F"/>
    <w:rsid w:val="00355D59"/>
    <w:rsid w:val="00373F1A"/>
    <w:rsid w:val="003B651D"/>
    <w:rsid w:val="003C4BF4"/>
    <w:rsid w:val="004721F8"/>
    <w:rsid w:val="004C4D7B"/>
    <w:rsid w:val="004C6B9B"/>
    <w:rsid w:val="004E0C45"/>
    <w:rsid w:val="005036B7"/>
    <w:rsid w:val="00524BC1"/>
    <w:rsid w:val="005532F1"/>
    <w:rsid w:val="005C76AC"/>
    <w:rsid w:val="005D5C26"/>
    <w:rsid w:val="005D7958"/>
    <w:rsid w:val="00654B49"/>
    <w:rsid w:val="00663C4A"/>
    <w:rsid w:val="007D749C"/>
    <w:rsid w:val="008117E5"/>
    <w:rsid w:val="008159B8"/>
    <w:rsid w:val="00842C44"/>
    <w:rsid w:val="00860F20"/>
    <w:rsid w:val="008E3E3A"/>
    <w:rsid w:val="00926E96"/>
    <w:rsid w:val="00955970"/>
    <w:rsid w:val="00960DDC"/>
    <w:rsid w:val="009A048B"/>
    <w:rsid w:val="00A63FBE"/>
    <w:rsid w:val="00A64BDA"/>
    <w:rsid w:val="00AA2B05"/>
    <w:rsid w:val="00AE3B52"/>
    <w:rsid w:val="00B02B07"/>
    <w:rsid w:val="00BB75F5"/>
    <w:rsid w:val="00BD1AC6"/>
    <w:rsid w:val="00C42579"/>
    <w:rsid w:val="00C653BA"/>
    <w:rsid w:val="00C94ECA"/>
    <w:rsid w:val="00CF158E"/>
    <w:rsid w:val="00D43ECF"/>
    <w:rsid w:val="00DA058F"/>
    <w:rsid w:val="00DC0033"/>
    <w:rsid w:val="00DD1632"/>
    <w:rsid w:val="00E61507"/>
    <w:rsid w:val="00E61F7B"/>
    <w:rsid w:val="00EC2BA0"/>
    <w:rsid w:val="00EC4DD0"/>
    <w:rsid w:val="00EC5900"/>
    <w:rsid w:val="00F12F79"/>
    <w:rsid w:val="00F14D5A"/>
    <w:rsid w:val="00F205C8"/>
    <w:rsid w:val="00F336AD"/>
    <w:rsid w:val="00F65FD9"/>
    <w:rsid w:val="00F9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6B7"/>
  </w:style>
  <w:style w:type="paragraph" w:styleId="a3">
    <w:name w:val="Title"/>
    <w:basedOn w:val="a"/>
    <w:next w:val="a"/>
    <w:link w:val="a4"/>
    <w:uiPriority w:val="99"/>
    <w:qFormat/>
    <w:rsid w:val="005036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036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5036B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5036B7"/>
    <w:pPr>
      <w:ind w:left="720"/>
    </w:pPr>
    <w:rPr>
      <w:rFonts w:ascii="Calibri" w:eastAsia="Times New Roman" w:hAnsi="Calibri" w:cs="Calibri"/>
    </w:rPr>
  </w:style>
  <w:style w:type="paragraph" w:customStyle="1" w:styleId="a7">
    <w:name w:val="Основной"/>
    <w:basedOn w:val="a"/>
    <w:link w:val="a8"/>
    <w:uiPriority w:val="99"/>
    <w:rsid w:val="005036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5036B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5036B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5036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6B7"/>
    <w:rPr>
      <w:rFonts w:ascii="Tahoma" w:eastAsia="Times New Roman" w:hAnsi="Tahoma" w:cs="Times New Roman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C59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5900"/>
    <w:rPr>
      <w:sz w:val="20"/>
      <w:szCs w:val="20"/>
    </w:rPr>
  </w:style>
  <w:style w:type="paragraph" w:customStyle="1" w:styleId="ConsPlusNormal">
    <w:name w:val="ConsPlusNormal"/>
    <w:rsid w:val="00E6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6B7"/>
  </w:style>
  <w:style w:type="paragraph" w:styleId="a3">
    <w:name w:val="Title"/>
    <w:basedOn w:val="a"/>
    <w:next w:val="a"/>
    <w:link w:val="a4"/>
    <w:uiPriority w:val="99"/>
    <w:qFormat/>
    <w:rsid w:val="005036B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5036B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No Spacing"/>
    <w:uiPriority w:val="99"/>
    <w:qFormat/>
    <w:rsid w:val="005036B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5036B7"/>
    <w:pPr>
      <w:ind w:left="720"/>
    </w:pPr>
    <w:rPr>
      <w:rFonts w:ascii="Calibri" w:eastAsia="Times New Roman" w:hAnsi="Calibri" w:cs="Calibri"/>
    </w:rPr>
  </w:style>
  <w:style w:type="paragraph" w:customStyle="1" w:styleId="a7">
    <w:name w:val="Основной"/>
    <w:basedOn w:val="a"/>
    <w:link w:val="a8"/>
    <w:uiPriority w:val="99"/>
    <w:rsid w:val="005036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customStyle="1" w:styleId="a9">
    <w:name w:val="Сноска"/>
    <w:basedOn w:val="a7"/>
    <w:uiPriority w:val="99"/>
    <w:rsid w:val="005036B7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5036B7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5036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036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uiPriority w:val="99"/>
    <w:semiHidden/>
    <w:unhideWhenUsed/>
    <w:rsid w:val="00EC590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59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10425</Words>
  <Characters>59429</Characters>
  <Application>Microsoft Office Word</Application>
  <DocSecurity>0</DocSecurity>
  <Lines>495</Lines>
  <Paragraphs>139</Paragraphs>
  <ScaleCrop>false</ScaleCrop>
  <Company>SPecialiST RePack</Company>
  <LinksUpToDate>false</LinksUpToDate>
  <CharactersWithSpaces>69715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кассир</cp:lastModifiedBy>
  <cp:revision>6</cp:revision>
  <dcterms:created xsi:type="dcterms:W3CDTF">2019-12-10T15:16:00Z</dcterms:created>
  <dcterms:modified xsi:type="dcterms:W3CDTF">2020-01-27T07:37:00Z</dcterms:modified>
</cp:coreProperties>
</file>